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5E" w:rsidRPr="009D035E" w:rsidRDefault="009D035E" w:rsidP="009D035E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9D035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МИНИСТЕРСТВО ОБРАЗОВАНИЯ И НАУКИ РОССИЙСКОЙ ФЕДЕРАЦИИ</w:t>
      </w:r>
    </w:p>
    <w:p w:rsidR="009D035E" w:rsidRPr="009D035E" w:rsidRDefault="009D035E" w:rsidP="009D035E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9D035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9D035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ПИСЬМО</w:t>
      </w:r>
    </w:p>
    <w:p w:rsidR="009D035E" w:rsidRPr="009D035E" w:rsidRDefault="009D035E" w:rsidP="009D035E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9D035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от 3 октября 2017 г. N 09-1995</w:t>
      </w:r>
    </w:p>
    <w:p w:rsidR="009D035E" w:rsidRPr="009D035E" w:rsidRDefault="009D035E" w:rsidP="009D035E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9D035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9D035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 НАПРАВЛЕНИИ РЕКОМЕНДАЦИЙ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Департамент государственной политики в сфере воспитания детей и молодежи </w:t>
      </w:r>
      <w:proofErr w:type="spellStart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Минобрнауки</w:t>
      </w:r>
      <w:proofErr w:type="spellEnd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России в соответствии с </w:t>
      </w:r>
      <w:hyperlink r:id="rId5" w:history="1">
        <w:r w:rsidRPr="009D035E">
          <w:rPr>
            <w:rFonts w:ascii="Times New Roman" w:eastAsia="Times New Roman" w:hAnsi="Times New Roman" w:cs="Times New Roman"/>
            <w:color w:val="820082"/>
            <w:sz w:val="26"/>
            <w:szCs w:val="26"/>
            <w:u w:val="single"/>
            <w:lang w:eastAsia="ru-RU"/>
          </w:rPr>
          <w:t>планом</w:t>
        </w:r>
      </w:hyperlink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мероприятий по реализации в 2016 - 2020 годах Стратегии развития воспитания в Российской Федерации на период до 2025 года направляет для использования в работе методические </w:t>
      </w:r>
      <w:hyperlink r:id="rId6" w:history="1">
        <w:r w:rsidRPr="009D035E">
          <w:rPr>
            <w:rFonts w:ascii="Times New Roman" w:eastAsia="Times New Roman" w:hAnsi="Times New Roman" w:cs="Times New Roman"/>
            <w:color w:val="820082"/>
            <w:sz w:val="26"/>
            <w:szCs w:val="26"/>
            <w:u w:val="single"/>
            <w:lang w:eastAsia="ru-RU"/>
          </w:rPr>
          <w:t>рекомендации</w:t>
        </w:r>
      </w:hyperlink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детей.</w:t>
      </w:r>
      <w:proofErr w:type="gramEnd"/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383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</w:t>
      </w:r>
    </w:p>
    <w:p w:rsidR="009D035E" w:rsidRPr="009D035E" w:rsidRDefault="009D035E" w:rsidP="009D035E">
      <w:pPr>
        <w:shd w:val="clear" w:color="auto" w:fill="FFFFFF"/>
        <w:spacing w:after="0" w:line="383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Департамента </w:t>
      </w:r>
      <w:proofErr w:type="gramStart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государственной</w:t>
      </w:r>
      <w:proofErr w:type="gramEnd"/>
    </w:p>
    <w:p w:rsidR="009D035E" w:rsidRPr="009D035E" w:rsidRDefault="009D035E" w:rsidP="009D035E">
      <w:pPr>
        <w:shd w:val="clear" w:color="auto" w:fill="FFFFFF"/>
        <w:spacing w:after="0" w:line="383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политики в сфере воспитания</w:t>
      </w:r>
    </w:p>
    <w:p w:rsidR="009D035E" w:rsidRPr="009D035E" w:rsidRDefault="009D035E" w:rsidP="009D035E">
      <w:pPr>
        <w:shd w:val="clear" w:color="auto" w:fill="FFFFFF"/>
        <w:spacing w:after="0" w:line="383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детей и молодежи</w:t>
      </w:r>
    </w:p>
    <w:p w:rsidR="009D035E" w:rsidRPr="009D035E" w:rsidRDefault="009D035E" w:rsidP="009D035E">
      <w:pPr>
        <w:shd w:val="clear" w:color="auto" w:fill="FFFFFF"/>
        <w:spacing w:after="0" w:line="383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И.А.МИХЕЕВ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9D035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МЕТОДИЧЕСКИЕ РЕКОМЕНДАЦИИ</w:t>
      </w:r>
    </w:p>
    <w:p w:rsidR="009D035E" w:rsidRPr="009D035E" w:rsidRDefault="009D035E" w:rsidP="009D035E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9D035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ПО ПРОВЕДЕНИЮ МЕРОПРИЯТИЙ ПО ПОВЫШЕНИЮ ПРАВОВОЙ ГРАМОТНОСТИ</w:t>
      </w:r>
    </w:p>
    <w:p w:rsidR="009D035E" w:rsidRPr="009D035E" w:rsidRDefault="009D035E" w:rsidP="009D035E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9D035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ДЕТЕЙ, РОДИТЕЛЕЙ (ЗАКОННЫХ ПРЕДСТАВИТЕЛЕЙ) И ПЕДАГОГИЧЕСКИХ</w:t>
      </w:r>
    </w:p>
    <w:p w:rsidR="009D035E" w:rsidRPr="009D035E" w:rsidRDefault="009D035E" w:rsidP="009D035E">
      <w:pPr>
        <w:shd w:val="clear" w:color="auto" w:fill="FFFFFF"/>
        <w:spacing w:after="0" w:line="383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9D035E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РАБОТНИКОВ, УЧАСТВУЮЩИХ В ВОСПИТАНИИ ДЕТЕЙ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Развитие правового государства, формирование гражданского общества и укрепление национального согласия в России требуют высокой правовой культуры, без которой не могут быть в полной мере реализованы такие базовые ценности и принципы жизни общества, как верховенство закона, приоритет человека, его неотчуждаемых прав и свобод. Формирование высокого уровня правовой культуры, традиций безусловного уважения к закону, правопорядку и суду, добропорядочности и добросовестности - основные направления деятельности образовательных организаций по формированию основ гражданственности и правовой культуры. Достижение указанных целей возможно </w:t>
      </w: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лишь при грамотной организации, в первую очередь в образовательных организациях, работы по повышению правовой грамотности детей, родителей (законных представителей) и педагогических работников, участвующих в воспитании детей.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Данные методические рекомендации разработаны в рамках выполнения </w:t>
      </w:r>
      <w:hyperlink r:id="rId7" w:history="1">
        <w:r w:rsidRPr="009D035E">
          <w:rPr>
            <w:rFonts w:ascii="Times New Roman" w:eastAsia="Times New Roman" w:hAnsi="Times New Roman" w:cs="Times New Roman"/>
            <w:color w:val="820082"/>
            <w:sz w:val="26"/>
            <w:szCs w:val="26"/>
            <w:u w:val="single"/>
            <w:lang w:eastAsia="ru-RU"/>
          </w:rPr>
          <w:t>Плана</w:t>
        </w:r>
      </w:hyperlink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мероприятий по реализации в 2016 - 2020 годах Стратегии развития воспитания в Российской Федерации на период до 2025 года, утвержденной распоряжением Правительства Российской Федерации от 29 мая 2015 г. N 996-р, совместно с Общероссийской общественной организацией "Национальная родительская ассоциация социальной поддержки семьи и защиты семейных ценностей".</w:t>
      </w:r>
      <w:proofErr w:type="gramEnd"/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Рекомендации направлены на оказание информационной и методической помощи органам исполнительной власти субъектов Российской Федерации, осуществляющим государственное управление в сфере образования, муниципальным органам управления образованием, руководителям образовательных организаций в организации работы по повышению правовой грамотности детей, родителей (законных представителей) и педагогических работников.</w:t>
      </w:r>
      <w:proofErr w:type="gramEnd"/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Основными направлениями деятельности образовательных организаций в рамках повышения правовой грамотности должны являться: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разработка программ, методических пособий, включающих правовую тематику;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обучение обучающихся основам правовой культуры с целью повышения гражданской активности и формирования навыков ориентироваться в различных жизненных ситуациях, в том числе, соблюдая социальные обязанности и отстаивая собственные права;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реализация программ повышения правовой грамотности для родителей с целью формирования основ правовой культуры в семье;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повышение уровня правовой грамотности педагогов.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этим, всю работу в образовательных организациях по повышению правовой грамотности целесообразно разделить на три целевые группы, с учетом их особенностей, различных ролей и соответственно требуемых различных подходов при организации мероприятий: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Дети, обучающиеся в образовательных организациях.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Родители (законные представители).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Педагоги, участвующие в воспитании детей.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Рекомендации по проведению мероприятий по повышению правовой грамотности детей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Цели проведения мероприятий по повышению правовой грамотности: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формирование ответственности и предупреждение различных правонарушений;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профилактические работы со школьниками всех возрастов;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формирование правовой культуры каждого обучающегося.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Задачи: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формирование терминологического аппарата;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закрепление уважения к законам, праву, правовым нормам;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формирование твердой убежденности, что соблюдение законодательства - необходимая часть жизни в обществе;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прививание главных принципов правовой системы и разъяснение их значения для каждого гражданина;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формирование активной жизненной позиции относительно защиты правовой системы государства;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социализация личности школьника.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Мероприятия по правовому воспитанию учащихся должны проводиться не только, чтобы дать детям знания, но и научить их реализовывать свои права и обязанности в обществе, быть активным гражданином.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формы и методы повышения правовой грамотности детей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Основные методы для накопления </w:t>
      </w:r>
      <w:proofErr w:type="gramStart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теоретических знаний - лекции, беседы. Используются в рамках урока, на внеклассных мероприятиях, в индивидуальной или групповой формах.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 различных интерактивных форм мероприятий (конкурсы, викторины, конференции, семинары и другие) обеспечивает высокий уровень усвоения и запоминания информации.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Отдельные формы мероприятий (практикумы, деловые игры, дискуссии и т.п.) способствуют формированию навыков использовать полученные знания в конкретных ситуациях.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Важным является выстраивание единой содержательной линии, при которой внеклассные мероприятия дополняют и закрепляют материал, полученный на уроках.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Примерные темы мероприятий для детей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Избирательное право и его происхождение. Борьба за гражданские права. Голосование, выборы, референдум. Конституция. Правовой статус человека. Нарушение и защита прав и свобод гражданина.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Нормы семейного права. Взаимные обязанности родителей и детей. Семья и брак. Добрачное поведение. Проблема неполных семей.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Понятие о правоспособности. Органы опеки и попечительства. Защита детского труда.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Гражданские, трудовые, жилищные, имущественные правоотношения. Права потребителя.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Социальные нормы. Юридическая ответственность. Правосознание и правовая культура. Равенство перед законом. Административные правонарушения. Гражданские правонарушения. Разнообразие мер воздействия. Материальная ответственность.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Культура. Этикет. Образ жизни. Привычки и манеры. Обычаи и традиции. Нравы и мораль. Санкции как регулятор человеческого поведения. Культура. </w:t>
      </w: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Субкультура. Контркультура. Неформальные молодежные группы, их поведение и ответственность.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Религия и ее роль в обществе. Религии и конфессии России. Традиционные и нетрадиционные верования. Традиции и радикализм. Религиозный терроризм.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Социальный контроль, нормы социального контроля, санкции социального контроля, самоконтроль.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Народность, </w:t>
      </w:r>
      <w:proofErr w:type="spellStart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этноцентризм</w:t>
      </w:r>
      <w:proofErr w:type="spellEnd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ксенофобия, шовинизм, расовая дискриминация, культурный плюрализм. Национальная политика России.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Правонарушения и преступления. Правомерное и неправомерное поведение. Виды уголовных наказаний и порядок их назначения, виды административного правонарушения и административные взыскания.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Порядок призыва на военную службу, условия отсрочек, правовое регулирование воинской службы.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Социальная стратификация и социальные отношения.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Демографическая политика России.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Конфликт и основные способы его разрешения.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Социальное и протестное движения, их характеристика и масштабность.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Мораль и нравственность. Нравственные категории и добродетели. Милосердие. Долг. Справедливость и равенство. Духовная жизнь человека и общества.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Рекомендации по проведению мероприятий по повышению правовой грамотности родителей (законных представителей)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проведении мероприятий по повышению правовой грамотности родителей (законных представителей) важнейшее значение имеет семейно-правовой аспект, в </w:t>
      </w:r>
      <w:proofErr w:type="gramStart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связи</w:t>
      </w:r>
      <w:proofErr w:type="gramEnd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чем участники образовательного процесса - родители обучающихся - должны получить более глубокие знания в области семейного права, бесплатные юридические консультации по вопросам детско-родительских правоотношений, знания и навыки по урегулированию детско-родительских конфликтов. Важнейшим требованием к проведению мероприятий является активная, творческая форма проведения занятий, направленная на формирование родительских компетенций посредством приобретения теоретических знаний, их закрепления и применения в конкретных жизненных ситуациях. Должно быть предусмотрено использование </w:t>
      </w:r>
      <w:proofErr w:type="spellStart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online</w:t>
      </w:r>
      <w:proofErr w:type="spellEnd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вещания, других дистанционных технологий, работу со справочно-правовыми системами.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Цели проведения мероприятий по повышению правовой грамотности родителей (законных представителей):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получение базовых юридических знаний в сфере детско-родительских правоотношений;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получение правовых знаний родителями обучающихся как участниками образовательного процесса;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поддержка и формирование традиционных семейных ценностей как основы развития и сохранения семьи;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воспитание ответственного отношения к своим родительским правам и обязанностям;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профилактика детско-родительских конфликтов, семейного неблагополучия;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поддержка семей с детьми, попавших в трудную жизненную ситуацию и в социально опасное положение.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Задачи мероприятий: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поддержка, обучение и семейно-правовое просвещение родителей в сфере детско-родительских правоотношений;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формирование позитивного правового сознания родителей в детско-родительских правоотношениях;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воспитание "ответственного </w:t>
      </w:r>
      <w:proofErr w:type="spellStart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родительства</w:t>
      </w:r>
      <w:proofErr w:type="spellEnd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 посредством реализации мероприятий программы и оказания бесплатной правовой помощи родителям обучающихся колледжа.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формы работы с родительской аудиторией.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Лекции (лекция-информация, лекция-визуализация, проблемная лекция).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Практические занятия (дискуссия, тренинги, </w:t>
      </w:r>
      <w:proofErr w:type="spellStart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case-study</w:t>
      </w:r>
      <w:proofErr w:type="spellEnd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решение ситуативных задач, выполнение контрольных заданий, индивидуальные и групповые юридические консультации, выполнение творческих заданий, ролевые игры, тестирование, анкетирование, просмотр и обсуждение фрагментов фильмов семейно-правовой тематики, викторина, конкурсы, консультации специалистов, выступления сотрудников правоохранительных органов, "круглые столы" и др.)</w:t>
      </w:r>
      <w:proofErr w:type="gramEnd"/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Ожидаемые результаты и способы определения их результативности: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получение и углубление знаний в области семейного права, повышение правовой культуры детско-родительских правоотношений, ответственности родителей за воспитание своих детей;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улучшение взаимодействия и взаимопонимания детей со своими родителями;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формирование конструктивного взгляда родителей на решение семейных проблем;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повышение активности участия родителей в учебно-воспитательном процессе, повышение заинтересованности родителей в успехе своих детей.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результате семейно-правового просвещения родители должны знать права и гарантии, обязанности и ответственность родителей и детей, должны уметь: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выступать представителями интересов своих детей в административных и судебных процедурах;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предупреждать и грамотно разрешать конфликтные ситуации;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научить ребенка правилам личной безопасности;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уметь правильно оформлять социальные пособия на детей и других членов семьи.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Рекомендации по проведению мероприятий по повышению правовой грамотности педагогических работников, участвующих в воспитании детей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Цели проведения мероприятий по повышению правовой грамотности педагогических работников: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развитие правовой компетентности педагогов в области воспитания несовершеннолетних;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совершенствование системы правоотношений субъектов учебно-воспитательного процесса организаций образования Российской Федерации.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Задачи: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повышение квалификации педагогов в области гражданско-правовых знаний;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объединение усилий школы и семьи в гражданско-правовом образовании несовершеннолетних;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совершенствование системы воспитательной деятельности в образовательной организации;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развитие гражданско-правового образования в школах.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Мероприятия по повышению правовой грамотности педагогических работников, участвующих в воспитании детей, должны обеспечивать: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систематическое изучение нормативных правовых документов различного уровня, обеспечивающих защиту, реализацию прав и свобод детей;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информирование о международных, федеральных, региональных документах, касающихся прав, обязанностей, ответственности детей и их родителей;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изучение методик и технологий;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обучение использованию в профессиональной деятельности современных технологий, методик и способов правового просвещения;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поддержку поисковой, экспериментальной, инновационной деятельности;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разработку и реализацию программ освоения основ права;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мониторинг правовых знаний и поведения учащихся.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формы мероприятий по повышению правовой грамотности педагогических работников, участвующих в воспитании детей: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лекции, беседы;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консультации, тренинги, семинары-практикумы;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другие формы просветительских мероприятий.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Формы работы по повышению правовой грамотности педагогических работников должны предполагать высокий уровень правовых знаний и правового поведения педагогов, воспитателей, социальных работников, руководителей кружков и секций, тренеров и др.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Примерные темы мероприятий для педагогов: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формы государственно-общественного управления;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основы системы профилактики безнадзорности и правонарушений несовершеннолетних;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административная, гражданско-правовая дисциплинарная, уголовная ответственность педагогов;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конвенция о правах ребенка;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основные гарантии прав ребенка в РФ;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право ребенка на летний отдых; правовые аспекты организации летней оздоровительной работы с детьми.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СПИСОК</w:t>
      </w:r>
    </w:p>
    <w:p w:rsidR="009D035E" w:rsidRPr="009D035E" w:rsidRDefault="009D035E" w:rsidP="009D0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НОРМАТИВНО-ПРАВОВЫХ АКТОВ, РЕКОМЕНДУЕМЫХ ДЛЯ ИСПОЛЬЗОВАНИЯ</w:t>
      </w:r>
    </w:p>
    <w:p w:rsidR="009D035E" w:rsidRPr="009D035E" w:rsidRDefault="009D035E" w:rsidP="009D0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ПРОВЕДЕНИИ МЕРОПРИЯТИЙ ПО ПОВЫШЕНИЮ ПРАВОВОЙ ГРАМОТНОСТИ</w:t>
      </w:r>
    </w:p>
    <w:p w:rsidR="009D035E" w:rsidRPr="009D035E" w:rsidRDefault="009D035E" w:rsidP="009D0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ДЕТЕЙ, РОДИТЕЛЕЙ (ЗАКОННЫХ ПРЕДСТАВИТЕЛЕЙ) И ПЕДАГОГИЧЕСКИХ</w:t>
      </w:r>
    </w:p>
    <w:p w:rsidR="009D035E" w:rsidRPr="009D035E" w:rsidRDefault="009D035E" w:rsidP="009D0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РАБОТНИКОВ, УЧАСТВУЮЩИХ В ВОСПИТАНИИ ДЕТЕЙ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Всеобщая </w:t>
      </w:r>
      <w:hyperlink r:id="rId8" w:history="1">
        <w:r w:rsidRPr="009D035E">
          <w:rPr>
            <w:rFonts w:ascii="Times New Roman" w:eastAsia="Times New Roman" w:hAnsi="Times New Roman" w:cs="Times New Roman"/>
            <w:color w:val="820082"/>
            <w:sz w:val="26"/>
            <w:szCs w:val="26"/>
            <w:u w:val="single"/>
            <w:lang w:eastAsia="ru-RU"/>
          </w:rPr>
          <w:t>декларация</w:t>
        </w:r>
      </w:hyperlink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прав человека (принята на третьей сессии Генеральной Ассамбл</w:t>
      </w:r>
      <w:proofErr w:type="gramStart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еи ОО</w:t>
      </w:r>
      <w:proofErr w:type="gramEnd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 резолюцией 217 А (III) от 10 декабря 1948 г.)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</w:t>
      </w:r>
      <w:hyperlink r:id="rId9" w:history="1">
        <w:r w:rsidRPr="009D035E">
          <w:rPr>
            <w:rFonts w:ascii="Times New Roman" w:eastAsia="Times New Roman" w:hAnsi="Times New Roman" w:cs="Times New Roman"/>
            <w:color w:val="820082"/>
            <w:sz w:val="26"/>
            <w:szCs w:val="26"/>
            <w:u w:val="single"/>
            <w:lang w:eastAsia="ru-RU"/>
          </w:rPr>
          <w:t>Декларация</w:t>
        </w:r>
      </w:hyperlink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прав ребенка (принята резолюцией 1386 (XIV) Генеральной Ассамбл</w:t>
      </w:r>
      <w:proofErr w:type="gramStart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еи ОО</w:t>
      </w:r>
      <w:proofErr w:type="gramEnd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 от 20 ноября 1959 г.);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</w:t>
      </w:r>
      <w:hyperlink r:id="rId10" w:history="1">
        <w:r w:rsidRPr="009D035E">
          <w:rPr>
            <w:rFonts w:ascii="Times New Roman" w:eastAsia="Times New Roman" w:hAnsi="Times New Roman" w:cs="Times New Roman"/>
            <w:color w:val="820082"/>
            <w:sz w:val="26"/>
            <w:szCs w:val="26"/>
            <w:u w:val="single"/>
            <w:lang w:eastAsia="ru-RU"/>
          </w:rPr>
          <w:t>Конвенция</w:t>
        </w:r>
      </w:hyperlink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 защите прав человека и основных свобод (заключена в г. Риме 04.11.1950)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</w:t>
      </w:r>
      <w:hyperlink r:id="rId11" w:history="1">
        <w:r w:rsidRPr="009D035E">
          <w:rPr>
            <w:rFonts w:ascii="Times New Roman" w:eastAsia="Times New Roman" w:hAnsi="Times New Roman" w:cs="Times New Roman"/>
            <w:color w:val="820082"/>
            <w:sz w:val="26"/>
            <w:szCs w:val="26"/>
            <w:u w:val="single"/>
            <w:lang w:eastAsia="ru-RU"/>
          </w:rPr>
          <w:t>Конвенция</w:t>
        </w:r>
      </w:hyperlink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 правах ребенка (одобрена Генеральной Ассамблеей ООН 20.11.1989) (вступила в силу для СССР 15.09.1990)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</w:t>
      </w:r>
      <w:hyperlink r:id="rId12" w:history="1">
        <w:proofErr w:type="gramStart"/>
        <w:r w:rsidRPr="009D035E">
          <w:rPr>
            <w:rFonts w:ascii="Times New Roman" w:eastAsia="Times New Roman" w:hAnsi="Times New Roman" w:cs="Times New Roman"/>
            <w:color w:val="820082"/>
            <w:sz w:val="26"/>
            <w:szCs w:val="26"/>
            <w:u w:val="single"/>
            <w:lang w:eastAsia="ru-RU"/>
          </w:rPr>
          <w:t>Декларация</w:t>
        </w:r>
      </w:hyperlink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 социальных и правовых принципах, касающихся защиты и благополучия детей, особенно при передаче детей на воспитание и их усыновлении на национальном и международном уровнях (принята резолюцией 41/95 Генеральной Ассамблеи ООН от 3 декабря 1986 г.)</w:t>
      </w:r>
      <w:proofErr w:type="gramEnd"/>
    </w:p>
    <w:p w:rsidR="009D035E" w:rsidRPr="009D035E" w:rsidRDefault="009D035E" w:rsidP="009D035E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proofErr w:type="spellStart"/>
      <w:r w:rsidRPr="009D035E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КонсультантПлюс</w:t>
      </w:r>
      <w:proofErr w:type="spellEnd"/>
      <w:r w:rsidRPr="009D035E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: примечание.</w:t>
      </w:r>
    </w:p>
    <w:p w:rsidR="009D035E" w:rsidRPr="009D035E" w:rsidRDefault="009D035E" w:rsidP="009D035E">
      <w:pPr>
        <w:shd w:val="clear" w:color="auto" w:fill="F4F3F8"/>
        <w:spacing w:after="96" w:line="240" w:lineRule="auto"/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</w:pPr>
      <w:r w:rsidRPr="009D035E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Нумерация пунктов дана в соответствии с официальным текстом документа.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</w:t>
      </w:r>
      <w:hyperlink r:id="rId13" w:history="1">
        <w:r w:rsidRPr="009D035E">
          <w:rPr>
            <w:rFonts w:ascii="Times New Roman" w:eastAsia="Times New Roman" w:hAnsi="Times New Roman" w:cs="Times New Roman"/>
            <w:color w:val="820082"/>
            <w:sz w:val="26"/>
            <w:szCs w:val="26"/>
            <w:u w:val="single"/>
            <w:lang w:eastAsia="ru-RU"/>
          </w:rPr>
          <w:t>Конституция</w:t>
        </w:r>
      </w:hyperlink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7-ФКЗ)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6. </w:t>
      </w:r>
      <w:hyperlink r:id="rId14" w:history="1">
        <w:r w:rsidRPr="009D035E">
          <w:rPr>
            <w:rFonts w:ascii="Times New Roman" w:eastAsia="Times New Roman" w:hAnsi="Times New Roman" w:cs="Times New Roman"/>
            <w:color w:val="820082"/>
            <w:sz w:val="26"/>
            <w:szCs w:val="26"/>
            <w:u w:val="single"/>
            <w:lang w:eastAsia="ru-RU"/>
          </w:rPr>
          <w:t>Закон</w:t>
        </w:r>
      </w:hyperlink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РФ "Об образовании" от 29 декабря 2012 г. N 273-ФЗ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7. </w:t>
      </w:r>
      <w:hyperlink r:id="rId15" w:history="1">
        <w:r w:rsidRPr="009D035E">
          <w:rPr>
            <w:rFonts w:ascii="Times New Roman" w:eastAsia="Times New Roman" w:hAnsi="Times New Roman" w:cs="Times New Roman"/>
            <w:color w:val="820082"/>
            <w:sz w:val="26"/>
            <w:szCs w:val="26"/>
            <w:u w:val="single"/>
            <w:lang w:eastAsia="ru-RU"/>
          </w:rPr>
          <w:t>Закон</w:t>
        </w:r>
      </w:hyperlink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РФ "Об основных гарантиях прав ребенка в Российской Федерации" от 24.07.1998, N 124-ФЗ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8. </w:t>
      </w:r>
      <w:hyperlink r:id="rId16" w:history="1">
        <w:r w:rsidRPr="009D035E">
          <w:rPr>
            <w:rFonts w:ascii="Times New Roman" w:eastAsia="Times New Roman" w:hAnsi="Times New Roman" w:cs="Times New Roman"/>
            <w:color w:val="820082"/>
            <w:sz w:val="26"/>
            <w:szCs w:val="26"/>
            <w:u w:val="single"/>
            <w:lang w:eastAsia="ru-RU"/>
          </w:rPr>
          <w:t>Закон</w:t>
        </w:r>
      </w:hyperlink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РФ "Об основах системы профилактики безнадзорности и правонарушений несовершеннолетних" от 24.06.1999 N 120-ФЗ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9. </w:t>
      </w:r>
      <w:hyperlink r:id="rId17" w:history="1">
        <w:r w:rsidRPr="009D035E">
          <w:rPr>
            <w:rFonts w:ascii="Times New Roman" w:eastAsia="Times New Roman" w:hAnsi="Times New Roman" w:cs="Times New Roman"/>
            <w:color w:val="820082"/>
            <w:sz w:val="26"/>
            <w:szCs w:val="26"/>
            <w:u w:val="single"/>
            <w:lang w:eastAsia="ru-RU"/>
          </w:rPr>
          <w:t>Кодекс</w:t>
        </w:r>
      </w:hyperlink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Российской Федерации об административных правонарушениях N 195-ФЗ от 30.12.2001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D035E" w:rsidRPr="009D035E" w:rsidRDefault="009D035E" w:rsidP="009D03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СПИСОК ЛИТЕРАТУРЫ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Главный закон нашей жизни: по страницам Конституции Российской Федерации//Детская энциклопедия. - 2013. - N 8.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Дубровская И.А. Права ребенка: Пособие. М.: </w:t>
      </w:r>
      <w:proofErr w:type="spellStart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ГроссМедиа</w:t>
      </w:r>
      <w:proofErr w:type="spellEnd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РОСБУХ, 2008.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Евтушенко И.И. Формирование правовой культуры старшеклассников во </w:t>
      </w:r>
      <w:proofErr w:type="spellStart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внеучебной</w:t>
      </w:r>
      <w:proofErr w:type="spellEnd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деятельности/И.И. Евтушенко//Социально-гуманитарные знания. - 2011. - N 4.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proofErr w:type="spellStart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Ишеков</w:t>
      </w:r>
      <w:proofErr w:type="spellEnd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К.А. Теоретико-правовые основы реализации конституций и уставов субъектов Российской Федерации органами государственной власти: монография/под общ</w:t>
      </w:r>
      <w:proofErr w:type="gramStart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proofErr w:type="gramEnd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ед. П.П. </w:t>
      </w:r>
      <w:proofErr w:type="spellStart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Сергуна</w:t>
      </w:r>
      <w:proofErr w:type="spellEnd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РПА Минюста России, Поволжский (г. Саратов) юридический институт (филиал). М.; Саратов: РПА Минюста России, 2012. 97 с.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Певцова Е.А. О некоторых аспектах формирования правового сознания и правового воспитания школьной молодежи в трансформирующемся обществе//Основы государства и права. - 2005. - N 1. - С. 49 - 61.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Певцова Е.А. Теория и методика обучения праву: учебно-методическое пособие/Е.А. Певцова. - М., 2003.</w:t>
      </w:r>
    </w:p>
    <w:p w:rsidR="009D035E" w:rsidRPr="009D035E" w:rsidRDefault="009D035E" w:rsidP="009D035E">
      <w:pPr>
        <w:shd w:val="clear" w:color="auto" w:fill="FFFFFF"/>
        <w:spacing w:after="0" w:line="332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proofErr w:type="spellStart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Рассолова</w:t>
      </w:r>
      <w:proofErr w:type="spellEnd"/>
      <w:r w:rsidRPr="009D03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Е.А. Правовое воспитание старшеклассников//Вестник Университета Российской Академии Образования. - 2007. - N 1. - С. 45 - 47.</w:t>
      </w:r>
    </w:p>
    <w:p w:rsidR="00AF2AD9" w:rsidRDefault="00AF2AD9">
      <w:bookmarkStart w:id="0" w:name="_GoBack"/>
      <w:bookmarkEnd w:id="0"/>
    </w:p>
    <w:sectPr w:rsidR="00AF2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7B6"/>
    <w:rsid w:val="009D035E"/>
    <w:rsid w:val="00AF2AD9"/>
    <w:rsid w:val="00FE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5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4364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73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10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388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797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65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56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03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86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95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69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674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719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524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8256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063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45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61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01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462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37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07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413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541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69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184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48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47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76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599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2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789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2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62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201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617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8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082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89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96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269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101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5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00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6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15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552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230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131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43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853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001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835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97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726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413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68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144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52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11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599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62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99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74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9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65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53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161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58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571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008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83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166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630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0831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0050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45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514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3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906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634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43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89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15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847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3857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607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8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08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477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822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80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37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67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86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1993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28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24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0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771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35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3129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11" w:color="CED3F1"/>
            <w:bottom w:val="none" w:sz="0" w:space="0" w:color="auto"/>
            <w:right w:val="none" w:sz="0" w:space="0" w:color="auto"/>
          </w:divBdr>
          <w:divsChild>
            <w:div w:id="140313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83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52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710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81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820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097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559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53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12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2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003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nd=07F218E80145A10034E888A47830C22C&amp;req=doc&amp;base=LAW&amp;n=120805&amp;REFFIELD=134&amp;REFDST=100110&amp;REFDOC=705318&amp;REFBASE=EXP&amp;stat=refcode%3D16876%3Bindex%3D141" TargetMode="External"/><Relationship Id="rId13" Type="http://schemas.openxmlformats.org/officeDocument/2006/relationships/hyperlink" Target="http://www.consultant.ru/cons/cgi/online.cgi?rnd=07F218E80145A10034E888A47830C22C&amp;req=doc&amp;base=LAW&amp;n=2875&amp;REFFIELD=134&amp;REFDST=100115&amp;REFDOC=705318&amp;REFBASE=EXP&amp;stat=refcode%3D16876%3Bindex%3D14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cons/cgi/online.cgi?rnd=07F218E80145A10034E888A47830C22C&amp;req=doc&amp;base=LAW&amp;n=195441&amp;dst=100009&amp;fld=134&amp;REFFIELD=134&amp;REFDST=100008&amp;REFDOC=705318&amp;REFBASE=EXP&amp;stat=refcode%3D16876%3Bdstident%3D100009%3Bindex%3D26" TargetMode="External"/><Relationship Id="rId12" Type="http://schemas.openxmlformats.org/officeDocument/2006/relationships/hyperlink" Target="http://www.consultant.ru/cons/cgi/online.cgi?rnd=07F218E80145A10034E888A47830C22C&amp;req=doc&amp;base=INT&amp;n=16681&amp;REFFIELD=134&amp;REFDST=100114&amp;REFDOC=705318&amp;REFBASE=EXP&amp;stat=refcode%3D10881%3Bindex%3D145" TargetMode="External"/><Relationship Id="rId17" Type="http://schemas.openxmlformats.org/officeDocument/2006/relationships/hyperlink" Target="http://www.consultant.ru/cons/cgi/online.cgi?rnd=07F218E80145A10034E888A47830C22C&amp;req=doc&amp;base=LAW&amp;n=284300&amp;REFFIELD=134&amp;REFDST=100119&amp;REFDOC=705318&amp;REFBASE=EXP&amp;stat=refcode%3D16876%3Bindex%3D15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cons/cgi/online.cgi?rnd=07F218E80145A10034E888A47830C22C&amp;req=doc&amp;base=LAW&amp;n=301209&amp;REFFIELD=134&amp;REFDST=100118&amp;REFDOC=705318&amp;REFBASE=EXP&amp;stat=refcode%3D16876%3Bindex%3D15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cons/cgi/online.cgi?rnd=07F218E80145A10034E888A47830C22C&amp;req=doc&amp;base=EXP&amp;n=705318&amp;dst=100006&amp;fld=134" TargetMode="External"/><Relationship Id="rId11" Type="http://schemas.openxmlformats.org/officeDocument/2006/relationships/hyperlink" Target="http://www.consultant.ru/cons/cgi/online.cgi?rnd=07F218E80145A10034E888A47830C22C&amp;req=doc&amp;base=LAW&amp;n=9959&amp;REFFIELD=134&amp;REFDST=100113&amp;REFDOC=705318&amp;REFBASE=EXP&amp;stat=refcode%3D16876%3Bindex%3D144" TargetMode="External"/><Relationship Id="rId5" Type="http://schemas.openxmlformats.org/officeDocument/2006/relationships/hyperlink" Target="http://www.consultant.ru/cons/cgi/online.cgi?rnd=07F218E80145A10034E888A47830C22C&amp;req=doc&amp;base=LAW&amp;n=195441&amp;dst=100009&amp;fld=134&amp;REFFIELD=134&amp;REFDST=100004&amp;REFDOC=705318&amp;REFBASE=EXP&amp;stat=refcode%3D16876%3Bdstident%3D100009%3Bindex%3D8" TargetMode="External"/><Relationship Id="rId15" Type="http://schemas.openxmlformats.org/officeDocument/2006/relationships/hyperlink" Target="http://www.consultant.ru/cons/cgi/online.cgi?rnd=07F218E80145A10034E888A47830C22C&amp;req=doc&amp;base=LAW&amp;n=314878&amp;REFFIELD=134&amp;REFDST=100117&amp;REFDOC=705318&amp;REFBASE=EXP&amp;stat=refcode%3D16876%3Bindex%3D150" TargetMode="External"/><Relationship Id="rId10" Type="http://schemas.openxmlformats.org/officeDocument/2006/relationships/hyperlink" Target="http://www.consultant.ru/cons/cgi/online.cgi?rnd=07F218E80145A10034E888A47830C22C&amp;req=doc&amp;base=LAW&amp;n=30222&amp;REFFIELD=134&amp;REFDST=100112&amp;REFDOC=705318&amp;REFBASE=EXP&amp;stat=refcode%3D16876%3Bindex%3D14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cons/cgi/online.cgi?rnd=07F218E80145A10034E888A47830C22C&amp;req=doc&amp;base=INT&amp;n=15160&amp;REFFIELD=134&amp;REFDST=100111&amp;REFDOC=705318&amp;REFBASE=EXP&amp;stat=refcode%3D10881%3Bindex%3D142" TargetMode="External"/><Relationship Id="rId14" Type="http://schemas.openxmlformats.org/officeDocument/2006/relationships/hyperlink" Target="http://www.consultant.ru/cons/cgi/online.cgi?rnd=07F218E80145A10034E888A47830C22C&amp;req=doc&amp;base=LAW&amp;n=221341&amp;REFFIELD=134&amp;REFDST=100116&amp;REFDOC=705318&amp;REFBASE=EXP&amp;stat=refcode%3D16876%3Bindex%3D1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2777</Words>
  <Characters>15829</Characters>
  <Application>Microsoft Office Word</Application>
  <DocSecurity>0</DocSecurity>
  <Lines>131</Lines>
  <Paragraphs>37</Paragraphs>
  <ScaleCrop>false</ScaleCrop>
  <Company/>
  <LinksUpToDate>false</LinksUpToDate>
  <CharactersWithSpaces>18569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2019-02-14T19:38:00Z</dcterms:created>
  <dcterms:modified xsi:type="dcterms:W3CDTF">2019-02-14T19:38:00Z</dcterms:modified>
</cp:coreProperties>
</file>